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2D9AD6F" w14:textId="77777777" w:rsidR="00B677E3" w:rsidRDefault="00B677E3">
      <w:pPr>
        <w:pBdr>
          <w:top w:val="single" w:sz="4" w:space="1" w:color="0000FF"/>
          <w:left w:val="single" w:sz="4" w:space="4" w:color="0000FF"/>
          <w:bottom w:val="single" w:sz="4" w:space="1" w:color="0000FF"/>
          <w:right w:val="single" w:sz="4" w:space="4" w:color="0000FF"/>
        </w:pBdr>
        <w:jc w:val="both"/>
        <w:rPr>
          <w:rFonts w:ascii="Calibri" w:hAnsi="Calibri" w:cs="Calibri"/>
          <w:b/>
          <w:color w:val="000080"/>
          <w:spacing w:val="-2"/>
          <w:sz w:val="28"/>
          <w:szCs w:val="28"/>
        </w:rPr>
      </w:pPr>
      <w:r>
        <w:rPr>
          <w:rFonts w:ascii="Calibri" w:hAnsi="Calibri" w:cs="Calibri"/>
          <w:b/>
          <w:color w:val="000080"/>
          <w:spacing w:val="-2"/>
          <w:sz w:val="28"/>
          <w:szCs w:val="28"/>
        </w:rPr>
        <w:t xml:space="preserve">DICHIARAZIONI DELL’IMPRESA CONCORRENTE                                                </w:t>
      </w:r>
      <w:proofErr w:type="gramStart"/>
      <w:r>
        <w:rPr>
          <w:rFonts w:ascii="Calibri" w:hAnsi="Calibri" w:cs="Calibri"/>
          <w:b/>
          <w:color w:val="000080"/>
          <w:spacing w:val="-2"/>
          <w:sz w:val="28"/>
          <w:szCs w:val="28"/>
        </w:rPr>
        <w:t xml:space="preserve">   (</w:t>
      </w:r>
      <w:proofErr w:type="gramEnd"/>
      <w:r>
        <w:rPr>
          <w:rFonts w:ascii="Calibri" w:hAnsi="Calibri" w:cs="Calibri"/>
          <w:b/>
          <w:color w:val="000080"/>
          <w:spacing w:val="-2"/>
          <w:sz w:val="28"/>
          <w:szCs w:val="28"/>
        </w:rPr>
        <w:t>modello A3)</w:t>
      </w:r>
    </w:p>
    <w:p w14:paraId="43DF2882" w14:textId="77777777" w:rsidR="00B677E3" w:rsidRDefault="00B677E3">
      <w:pPr>
        <w:ind w:left="720"/>
        <w:jc w:val="both"/>
        <w:rPr>
          <w:rFonts w:ascii="Calibri" w:hAnsi="Calibri" w:cs="Calibri"/>
          <w:b/>
          <w:color w:val="000080"/>
          <w:spacing w:val="-2"/>
          <w:sz w:val="28"/>
          <w:szCs w:val="28"/>
        </w:rPr>
      </w:pPr>
    </w:p>
    <w:p w14:paraId="6321CB02" w14:textId="77777777" w:rsidR="00B677E3" w:rsidRDefault="00B677E3">
      <w:pPr>
        <w:tabs>
          <w:tab w:val="left" w:pos="-1800"/>
          <w:tab w:val="left" w:pos="1080"/>
          <w:tab w:val="left" w:pos="1800"/>
          <w:tab w:val="left" w:pos="6300"/>
        </w:tabs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sottoscritto ______________________, nato il ___________ a _______________ in qualità di __________________ dell’Operatore Economico ___________________________________</w:t>
      </w:r>
    </w:p>
    <w:p w14:paraId="2275E604" w14:textId="77777777" w:rsidR="00B677E3" w:rsidRDefault="00B677E3">
      <w:pPr>
        <w:pStyle w:val="Corpodeltesto21"/>
        <w:spacing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ai sensi degli articoli 46 e 47 del D.P.R. 28 dicembre 2000, n. 445 e </w:t>
      </w:r>
      <w:proofErr w:type="spellStart"/>
      <w:r>
        <w:rPr>
          <w:rFonts w:ascii="Calibri" w:hAnsi="Calibri" w:cs="Calibri"/>
          <w:sz w:val="22"/>
          <w:szCs w:val="22"/>
        </w:rPr>
        <w:t>s.m.i.</w:t>
      </w:r>
      <w:proofErr w:type="spellEnd"/>
      <w:r>
        <w:rPr>
          <w:rFonts w:ascii="Calibri" w:hAnsi="Calibri" w:cs="Calibri"/>
          <w:sz w:val="22"/>
          <w:szCs w:val="22"/>
        </w:rPr>
        <w:t>, consapevole delle sanzioni penali previste dall’articolo 76 del medesimo D.P.R. per le ipotesi di falsità in atti e dichiarazioni mendaci ivi indicate e che la falsa o carente dichiarazione è causa di esclusione dalla procedura di gara</w:t>
      </w:r>
    </w:p>
    <w:p w14:paraId="2005FC93" w14:textId="77777777" w:rsidR="00B677E3" w:rsidRDefault="00B677E3">
      <w:pPr>
        <w:pStyle w:val="Corpodeltesto21"/>
        <w:spacing w:line="240" w:lineRule="auto"/>
        <w:jc w:val="both"/>
        <w:rPr>
          <w:rFonts w:ascii="Calibri" w:hAnsi="Calibri" w:cs="Calibri"/>
          <w:sz w:val="22"/>
          <w:szCs w:val="22"/>
        </w:rPr>
      </w:pPr>
    </w:p>
    <w:p w14:paraId="20B75411" w14:textId="77777777" w:rsidR="00B677E3" w:rsidRDefault="00B677E3">
      <w:pPr>
        <w:pStyle w:val="Corpodeltesto21"/>
        <w:spacing w:line="24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DICHIARA:</w:t>
      </w:r>
    </w:p>
    <w:p w14:paraId="3420E0A6" w14:textId="77777777" w:rsidR="00B677E3" w:rsidRDefault="00B677E3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non trovarsi in alcuna delle cause di esclusione dalla partecipazione alle procedure di affidamento di lavori, forniture e servizi pubblici e di stipula dei relativi contratti previste dall’articolo 80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n. 50/16. In particolare, dichiara:</w:t>
      </w:r>
    </w:p>
    <w:p w14:paraId="6C571D4A" w14:textId="77777777" w:rsidR="00B677E3" w:rsidRDefault="00B677E3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che nei propri confronti non è stata pronunciata</w:t>
      </w:r>
      <w:r>
        <w:rPr>
          <w:rFonts w:ascii="Calibri" w:hAnsi="Calibri" w:cs="Calibri"/>
          <w:sz w:val="22"/>
          <w:szCs w:val="22"/>
        </w:rPr>
        <w:t xml:space="preserve"> sentenza definitiva o decreto penale di condanna divenuto irrevocabile, o sentenza di applicazione della pena su richiesta, </w:t>
      </w:r>
      <w:r>
        <w:rPr>
          <w:rFonts w:ascii="Calibri" w:hAnsi="Calibri" w:cs="Calibri"/>
          <w:sz w:val="22"/>
          <w:szCs w:val="22"/>
          <w:u w:val="single"/>
        </w:rPr>
        <w:t>ai sensi dell’articolo 444 del codice di procedura penale</w:t>
      </w:r>
      <w:r>
        <w:rPr>
          <w:rFonts w:ascii="Calibri" w:hAnsi="Calibri" w:cs="Calibri"/>
          <w:sz w:val="22"/>
          <w:szCs w:val="22"/>
        </w:rPr>
        <w:t>, anche riferita ad un suo subappaltatore nei casi di cui all’art. 105, comma 6, per uno dei seguenti reati:</w:t>
      </w:r>
    </w:p>
    <w:p w14:paraId="650B89AE" w14:textId="77777777" w:rsidR="00B677E3" w:rsidRDefault="00B677E3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delitti, consumati o tentati, di cui agli artt. 416, 416‐bis del </w:t>
      </w:r>
      <w:proofErr w:type="gramStart"/>
      <w:r>
        <w:rPr>
          <w:rFonts w:ascii="Calibri" w:hAnsi="Calibri" w:cs="Calibri"/>
          <w:sz w:val="22"/>
          <w:szCs w:val="22"/>
        </w:rPr>
        <w:t>codice penale</w:t>
      </w:r>
      <w:proofErr w:type="gramEnd"/>
      <w:r>
        <w:rPr>
          <w:rFonts w:ascii="Calibri" w:hAnsi="Calibri" w:cs="Calibri"/>
          <w:sz w:val="22"/>
          <w:szCs w:val="22"/>
        </w:rPr>
        <w:t xml:space="preserve"> ovvero delitti commessi avvalendosi delle condizioni previste dal predetto art. 416‐bis ovvero al fine di agevolare l'attività delle associazioni previste dallo stesso articolo, nonché per i delitti, consumati o tentati, previsti dall'art. 74 del decreto del Presidente della Repubblica 9 ottobre 1990, n. 309, dall’art. 291‐quater del D.P.R. 23 gennaio 1973, n. 43 e dall'art. 260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3 aprile 2006, n. 152, in quanto riconducibili alla partecipazione a un'organizzazione criminale, quale definita all'art. 2 della decisione quadro 2008/841/GAI del Consiglio;</w:t>
      </w:r>
    </w:p>
    <w:p w14:paraId="06ADC456" w14:textId="77777777" w:rsidR="00B677E3" w:rsidRDefault="00B677E3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delitti, consumati o tentati, di cui agli artt. 317, 318, 319, 319‐ter, 319‐quater, 320, 321, 322, 322‐bis, 346‐bis, 353, 353‐bis, 354, 355 e 356 del </w:t>
      </w:r>
      <w:r w:rsidR="00ED2033">
        <w:rPr>
          <w:rFonts w:ascii="Calibri" w:hAnsi="Calibri" w:cs="Calibri"/>
          <w:sz w:val="22"/>
          <w:szCs w:val="22"/>
        </w:rPr>
        <w:t>Codice penale</w:t>
      </w:r>
      <w:r>
        <w:rPr>
          <w:rFonts w:ascii="Calibri" w:hAnsi="Calibri" w:cs="Calibri"/>
          <w:sz w:val="22"/>
          <w:szCs w:val="22"/>
        </w:rPr>
        <w:t xml:space="preserve"> nonché all’art. 2635 del </w:t>
      </w:r>
      <w:proofErr w:type="gramStart"/>
      <w:r>
        <w:rPr>
          <w:rFonts w:ascii="Calibri" w:hAnsi="Calibri" w:cs="Calibri"/>
          <w:sz w:val="22"/>
          <w:szCs w:val="22"/>
        </w:rPr>
        <w:t>codice civile</w:t>
      </w:r>
      <w:proofErr w:type="gramEnd"/>
      <w:r>
        <w:rPr>
          <w:rFonts w:ascii="Calibri" w:hAnsi="Calibri" w:cs="Calibri"/>
          <w:sz w:val="22"/>
          <w:szCs w:val="22"/>
        </w:rPr>
        <w:t>;</w:t>
      </w:r>
    </w:p>
    <w:p w14:paraId="5351CED7" w14:textId="77777777" w:rsidR="00B677E3" w:rsidRDefault="00B677E3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frode ai sensi dell'art. 1 della convenzione relativa alla tutela degli interessi finanziari delle Comunità europee;</w:t>
      </w:r>
    </w:p>
    <w:p w14:paraId="0478DF68" w14:textId="77777777" w:rsidR="00B677E3" w:rsidRDefault="00B677E3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delitti, consumati o tentati, commessi con finalità di terrorismo, anche internazionale, e di eversione dell'ordine costituzionale reati terroristici o reati connessi alle attività terroristiche;</w:t>
      </w:r>
    </w:p>
    <w:p w14:paraId="2C1F4F55" w14:textId="77777777" w:rsidR="00B677E3" w:rsidRDefault="00B677E3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delitti di cui agli artt. 648‐bis, 648‐ter e 648‐ter.1 del </w:t>
      </w:r>
      <w:proofErr w:type="gramStart"/>
      <w:r>
        <w:rPr>
          <w:rFonts w:ascii="Calibri" w:hAnsi="Calibri" w:cs="Calibri"/>
          <w:sz w:val="22"/>
          <w:szCs w:val="22"/>
        </w:rPr>
        <w:t>codice penale</w:t>
      </w:r>
      <w:proofErr w:type="gramEnd"/>
      <w:r>
        <w:rPr>
          <w:rFonts w:ascii="Calibri" w:hAnsi="Calibri" w:cs="Calibri"/>
          <w:sz w:val="22"/>
          <w:szCs w:val="22"/>
        </w:rPr>
        <w:t>, riciclaggio di proventi di attività criminose o finanziamento del terrorismo, quali definiti all'art. 1 del decreto legislativo 22 giugno 2007, n. 109 e successive modificazioni;</w:t>
      </w:r>
    </w:p>
    <w:p w14:paraId="48332C59" w14:textId="77777777" w:rsidR="00B677E3" w:rsidRDefault="00B677E3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sfruttamento del lavoro minorile e altre forme di tratta di esseri umani definite con il decreto legislativo 4 marzo 2014, n. 24;</w:t>
      </w:r>
    </w:p>
    <w:p w14:paraId="6E391C35" w14:textId="77777777" w:rsidR="00B677E3" w:rsidRDefault="00B677E3">
      <w:pPr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ogni altro delitto da cui derivi, quale pena accessoria, l'incapacità di contrattare con la pubblica amministrazione;</w:t>
      </w:r>
    </w:p>
    <w:p w14:paraId="1FFC2134" w14:textId="77777777" w:rsidR="00B677E3" w:rsidRDefault="00B677E3">
      <w:pPr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ovvero alternativamente, </w:t>
      </w:r>
    </w:p>
    <w:p w14:paraId="26929CC9" w14:textId="77777777" w:rsidR="00B677E3" w:rsidRDefault="00B677E3">
      <w:p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che, pur trovandosi in una delle fattispecie elencate al punto 1, </w:t>
      </w:r>
      <w:r>
        <w:rPr>
          <w:rFonts w:ascii="Calibri" w:hAnsi="Calibri" w:cs="Calibri"/>
          <w:color w:val="000000"/>
          <w:sz w:val="22"/>
          <w:szCs w:val="22"/>
        </w:rPr>
        <w:t>il reato è stato depenalizzato ovvero è intervenuta la</w:t>
      </w:r>
      <w:r>
        <w:rPr>
          <w:rFonts w:ascii="Calibri" w:hAnsi="Calibri" w:cs="Calibri"/>
          <w:i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riabilitazione ovvero il reato è stato dichiarato estinto dopo la condanna ovvero in caso di</w:t>
      </w:r>
      <w:r>
        <w:rPr>
          <w:rFonts w:ascii="Calibri" w:hAnsi="Calibri" w:cs="Calibri"/>
          <w:i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revoca della condanna medesima e l'impresa dimostri che vi</w:t>
      </w:r>
      <w:r>
        <w:rPr>
          <w:rFonts w:ascii="Calibri" w:hAnsi="Calibri" w:cs="Calibri"/>
          <w:i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sia stata completa ed effettiva dissociazione della condotta penalmente sanzionata;</w:t>
      </w:r>
    </w:p>
    <w:p w14:paraId="61959D24" w14:textId="77777777" w:rsidR="00B677E3" w:rsidRDefault="00B677E3">
      <w:pPr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ovvero alternativamente, richiede </w:t>
      </w:r>
    </w:p>
    <w:p w14:paraId="43BA4AEA" w14:textId="77777777" w:rsidR="00B677E3" w:rsidRDefault="00B677E3">
      <w:pPr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 applicazione del comma 8 dell’art. 80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50/2016, alla S.A. di ritenere valide le prove presentate di cui al comma 7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50/2016, nel caso di sentenza definitiva con pena detentiva inferiore a 18 mesi oppure nel caso in cui c’è stato il risarcimento o l’impegno al risarcimento dei danni causati dal reato o dall’illecito e </w:t>
      </w:r>
      <w:r>
        <w:rPr>
          <w:rFonts w:ascii="Calibri" w:hAnsi="Calibri" w:cs="Calibri"/>
          <w:sz w:val="22"/>
          <w:szCs w:val="22"/>
        </w:rPr>
        <w:lastRenderedPageBreak/>
        <w:t xml:space="preserve">l’adozione di provvedimenti concreti di carattere tecnico-organizzativi relativi al personale idonei a prevenire ulteriori reati o illeciti. </w:t>
      </w:r>
    </w:p>
    <w:p w14:paraId="5CD8CEDE" w14:textId="77777777" w:rsidR="00B677E3" w:rsidRDefault="00B677E3">
      <w:pPr>
        <w:autoSpaceDE w:val="0"/>
        <w:jc w:val="both"/>
        <w:rPr>
          <w:rFonts w:ascii="Calibri" w:hAnsi="Calibri" w:cs="Calibri"/>
          <w:sz w:val="22"/>
          <w:szCs w:val="22"/>
        </w:rPr>
      </w:pPr>
    </w:p>
    <w:p w14:paraId="04850F04" w14:textId="77777777" w:rsidR="00B677E3" w:rsidRDefault="00B677E3">
      <w:pPr>
        <w:numPr>
          <w:ilvl w:val="0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che nei propri confronti non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vi siano cause di decadenza, di sospensione o di divieto</w:t>
      </w:r>
      <w:r>
        <w:rPr>
          <w:rFonts w:ascii="Calibri" w:hAnsi="Calibri" w:cs="Calibri"/>
          <w:sz w:val="22"/>
          <w:szCs w:val="22"/>
        </w:rPr>
        <w:t xml:space="preserve"> previste dall’art. 67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6 settembre 2011, n. 159 o di un tentativo di infiltrazione mafiosa di cui all’art. 84, comma 4, del medesimo decreto, fermo restando quanto previsto dagli artt. 88, comma 4 bis, e 92, commi 2 e 3,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6 settembre 2011 n. 159, con riferimento rispettivamente alle comunicazioni antimafia e alle informazioni antimafia.</w:t>
      </w:r>
    </w:p>
    <w:p w14:paraId="7F9DC34C" w14:textId="77777777" w:rsidR="00B677E3" w:rsidRDefault="00B677E3">
      <w:pPr>
        <w:numPr>
          <w:ilvl w:val="0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di non aver commesso violazioni gravi, definitivamente accertate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tramite sentenze o atti amministrativi non più soggetti ad impugnazione, </w:t>
      </w:r>
      <w:r>
        <w:rPr>
          <w:rFonts w:ascii="Calibri" w:hAnsi="Calibri" w:cs="Calibri"/>
          <w:sz w:val="22"/>
          <w:szCs w:val="22"/>
        </w:rPr>
        <w:t>rispetto agli obblighi relativi al pagamento delle imposte e tasse o dei contributi previdenziali, secondo la legislazione italiana, ai sensi dell’art. 48 bis commi 1 e 2 bis, del D.P.R. del 29 settembre 1973, n. 602, o quella dello Stato in cui sono stabiliti.</w:t>
      </w:r>
    </w:p>
    <w:p w14:paraId="625A3950" w14:textId="77777777" w:rsidR="00B677E3" w:rsidRDefault="00B677E3">
      <w:pPr>
        <w:numPr>
          <w:ilvl w:val="0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di non trovarsi in nessuna delle cause di esclusione, anche riferita ad un suo subappaltatore, nei casi di cui all’art. 105, comma 6 del </w:t>
      </w:r>
      <w:proofErr w:type="spellStart"/>
      <w:r>
        <w:rPr>
          <w:rFonts w:ascii="Calibri" w:hAnsi="Calibri" w:cs="Calibri"/>
          <w:b/>
          <w:sz w:val="22"/>
          <w:szCs w:val="22"/>
        </w:rPr>
        <w:t>D.Lgs.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50/2016:</w:t>
      </w:r>
    </w:p>
    <w:p w14:paraId="3A5591E5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gravi infrazioni debitamente accertate, alle norme in materia di salute e sicurezza sul lavoro</w:t>
      </w:r>
      <w:r>
        <w:rPr>
          <w:rFonts w:ascii="Calibri" w:hAnsi="Calibri" w:cs="Calibri"/>
          <w:sz w:val="22"/>
          <w:szCs w:val="22"/>
        </w:rPr>
        <w:t xml:space="preserve"> nonché agli obblighi di cui all’art. 30, comma 3; </w:t>
      </w:r>
    </w:p>
    <w:p w14:paraId="7FCAE43D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stato di fallimento, di liquidazione coatta, di concordato preventivo</w:t>
      </w:r>
      <w:r>
        <w:rPr>
          <w:rFonts w:ascii="Calibri" w:hAnsi="Calibri" w:cs="Calibri"/>
          <w:sz w:val="22"/>
          <w:szCs w:val="22"/>
        </w:rPr>
        <w:t xml:space="preserve">, salvo il caso di concordato con continuità aziendale, o nei cui riguardi sia in corso un procedimento per la dichiarazione di una di tali situazioni, fermo restando quanto previsto dall’art. 110; </w:t>
      </w:r>
    </w:p>
    <w:p w14:paraId="25A30780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gravi illeciti professionali tali da rendere dubbia la sua integrità o affidabilità: </w:t>
      </w:r>
    </w:p>
    <w:p w14:paraId="7A637F68" w14:textId="77777777" w:rsidR="00B677E3" w:rsidRDefault="00B677E3">
      <w:pPr>
        <w:numPr>
          <w:ilvl w:val="2"/>
          <w:numId w:val="4"/>
        </w:numPr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significative carenze nell’esecuzione di un precedente contratto di appalto o di concessione che ne hanno causato la risoluzione anticipata non contestata in giudizio, ovvero confermata all’esito di un giudizio, ovvero hanno dato luogo ad una condanna al risarcimento del danno o ad altre sanzioni;</w:t>
      </w:r>
    </w:p>
    <w:p w14:paraId="561BA4AD" w14:textId="77777777" w:rsidR="00B677E3" w:rsidRDefault="00B677E3">
      <w:pPr>
        <w:numPr>
          <w:ilvl w:val="2"/>
          <w:numId w:val="4"/>
        </w:numPr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tentativo di influenzare indebitamente il processo decisionale della stazione appaltante o di ottenere informazioni riservate ai fini di proprio vantaggio;</w:t>
      </w:r>
    </w:p>
    <w:p w14:paraId="7D897043" w14:textId="77777777" w:rsidR="00B677E3" w:rsidRDefault="00B677E3">
      <w:pPr>
        <w:numPr>
          <w:ilvl w:val="2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aver fornito, anche per negligenza, informazioni false o fuorvianti suscettibili di influenzare le decisioni sull’esclusione, la selezione o l’aggiudicazione ovvero l’omettere le informazioni dovute ai fini del corretto svolgimento della procedura di selezione</w:t>
      </w:r>
      <w:r>
        <w:rPr>
          <w:rFonts w:ascii="Calibri" w:hAnsi="Calibri" w:cs="Calibri"/>
          <w:bCs/>
          <w:sz w:val="22"/>
          <w:szCs w:val="22"/>
        </w:rPr>
        <w:t>;</w:t>
      </w:r>
    </w:p>
    <w:p w14:paraId="1CA4BE5E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conflitto di interesse ai sensi dell’art. 42, comma 2 non diversamente risolvibile;</w:t>
      </w:r>
    </w:p>
    <w:p w14:paraId="7727D1B8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distorsione della concorrenza </w:t>
      </w:r>
      <w:r>
        <w:rPr>
          <w:rFonts w:ascii="Calibri" w:hAnsi="Calibri" w:cs="Calibri"/>
          <w:sz w:val="22"/>
          <w:szCs w:val="22"/>
        </w:rPr>
        <w:t>derivante dal precedente coinvolgimento degli operatori economici nella preparazione della procedura d’appalto di cui all’art. 67;</w:t>
      </w:r>
    </w:p>
    <w:p w14:paraId="4DA57B2D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sanzione interdittiva di cui all’art. 9. comma 2 lett. C) del </w:t>
      </w:r>
      <w:proofErr w:type="spellStart"/>
      <w:r>
        <w:rPr>
          <w:rFonts w:ascii="Calibri" w:hAnsi="Calibri" w:cs="Calibri"/>
          <w:b/>
          <w:sz w:val="22"/>
          <w:szCs w:val="22"/>
        </w:rPr>
        <w:t>D.Lgs.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8 giugno 2001</w:t>
      </w:r>
      <w:r>
        <w:rPr>
          <w:rFonts w:ascii="Calibri" w:hAnsi="Calibri" w:cs="Calibri"/>
          <w:sz w:val="22"/>
          <w:szCs w:val="22"/>
        </w:rPr>
        <w:t xml:space="preserve">, n. 231, o altra sanzione che comporta il divieto a contrarre con la pubblica amministrazione compresi i provvedimenti interdettivi di cui all’art. 14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9 aprile 2008, n. 81;</w:t>
      </w:r>
    </w:p>
    <w:p w14:paraId="60734696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iscrizione nel casellario informatico tenuto dall’Osservatorio dell’ANAC </w:t>
      </w:r>
      <w:r>
        <w:rPr>
          <w:rFonts w:ascii="Calibri" w:hAnsi="Calibri" w:cs="Calibri"/>
          <w:sz w:val="22"/>
          <w:szCs w:val="22"/>
        </w:rPr>
        <w:t>per aver presentato false dichiarazioni o falsa documentazione ai fini del rilascio dell’attestazione di qualificazione, per il periodo durante il quale perdura l’iscrizione;</w:t>
      </w:r>
    </w:p>
    <w:p w14:paraId="4167CF25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violazione del divieto di intestazione fiduciaria</w:t>
      </w:r>
      <w:r>
        <w:rPr>
          <w:rFonts w:ascii="Calibri" w:hAnsi="Calibri" w:cs="Calibri"/>
          <w:sz w:val="22"/>
          <w:szCs w:val="22"/>
        </w:rPr>
        <w:t xml:space="preserve"> posto </w:t>
      </w:r>
      <w:r>
        <w:rPr>
          <w:rFonts w:ascii="Calibri" w:hAnsi="Calibri" w:cs="Calibri"/>
          <w:sz w:val="22"/>
          <w:szCs w:val="22"/>
          <w:u w:val="single"/>
        </w:rPr>
        <w:t>all’articolo 17 della Legge 19 marzo 1990 n. 55</w:t>
      </w:r>
      <w:r>
        <w:rPr>
          <w:rFonts w:ascii="Calibri" w:hAnsi="Calibri" w:cs="Calibri"/>
          <w:sz w:val="22"/>
          <w:szCs w:val="22"/>
        </w:rPr>
        <w:t xml:space="preserve"> oppure che pur avendo violato il divieto di intestazione fiduciaria ed essendo trascorso oltre un anno dal suo accertamento la violazione non è stata rimossa;</w:t>
      </w:r>
    </w:p>
    <w:p w14:paraId="46829270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mancata presentazione della certificazione di cui all’art. 17 della legge 12 </w:t>
      </w:r>
      <w:proofErr w:type="gramStart"/>
      <w:r>
        <w:rPr>
          <w:rFonts w:ascii="Calibri" w:hAnsi="Calibri" w:cs="Calibri"/>
          <w:b/>
          <w:sz w:val="22"/>
          <w:szCs w:val="22"/>
        </w:rPr>
        <w:t>Marzo</w:t>
      </w:r>
      <w:proofErr w:type="gramEnd"/>
      <w:r>
        <w:rPr>
          <w:rFonts w:ascii="Calibri" w:hAnsi="Calibri" w:cs="Calibri"/>
          <w:b/>
          <w:sz w:val="22"/>
          <w:szCs w:val="22"/>
        </w:rPr>
        <w:t xml:space="preserve"> 1999, n. 68 </w:t>
      </w:r>
      <w:r>
        <w:rPr>
          <w:rFonts w:ascii="Calibri" w:hAnsi="Calibri" w:cs="Calibri"/>
          <w:sz w:val="22"/>
          <w:szCs w:val="22"/>
        </w:rPr>
        <w:t>ovvero non abbia autocertificato la sussistenza del medesimo requisito;</w:t>
      </w:r>
    </w:p>
    <w:p w14:paraId="1A389DEB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che pur essendo stato vittima dei reati previsti e puniti dagli artt. 317 e 629 del codice penale </w:t>
      </w:r>
      <w:r>
        <w:rPr>
          <w:rFonts w:ascii="Calibri" w:hAnsi="Calibri" w:cs="Calibri"/>
          <w:sz w:val="22"/>
          <w:szCs w:val="22"/>
        </w:rPr>
        <w:t xml:space="preserve">aggravati ai sensi dell’art. 7 del </w:t>
      </w:r>
      <w:proofErr w:type="gramStart"/>
      <w:r>
        <w:rPr>
          <w:rFonts w:ascii="Calibri" w:hAnsi="Calibri" w:cs="Calibri"/>
          <w:sz w:val="22"/>
          <w:szCs w:val="22"/>
        </w:rPr>
        <w:t>Decreto Legge</w:t>
      </w:r>
      <w:proofErr w:type="gramEnd"/>
      <w:r>
        <w:rPr>
          <w:rFonts w:ascii="Calibri" w:hAnsi="Calibri" w:cs="Calibri"/>
          <w:sz w:val="22"/>
          <w:szCs w:val="22"/>
        </w:rPr>
        <w:t xml:space="preserve"> 13 maggio 1991, n. 152, convertito con modificazioni, dalla legge 12 Luglio 1991, 203 non risulti aver denunciato i fatti all’autorità giudiziaria, salvo che ricorrano i casi previsti dall’art. 4, 1° comma della Legge 24 novembre 1981, n. 689;</w:t>
      </w:r>
    </w:p>
    <w:p w14:paraId="090F01F0" w14:textId="77777777" w:rsidR="00B677E3" w:rsidRDefault="00B677E3">
      <w:pPr>
        <w:numPr>
          <w:ilvl w:val="1"/>
          <w:numId w:val="4"/>
        </w:numPr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rispetto ad un altro partecipante alla medesima procedura di affidamento</w:t>
      </w:r>
      <w:r>
        <w:rPr>
          <w:rFonts w:ascii="Calibri" w:hAnsi="Calibri" w:cs="Calibri"/>
          <w:sz w:val="22"/>
          <w:szCs w:val="22"/>
        </w:rPr>
        <w:t xml:space="preserve">, in una situazione di controllo di cui all’art. 2359 del </w:t>
      </w:r>
      <w:proofErr w:type="gramStart"/>
      <w:r>
        <w:rPr>
          <w:rFonts w:ascii="Calibri" w:hAnsi="Calibri" w:cs="Calibri"/>
          <w:sz w:val="22"/>
          <w:szCs w:val="22"/>
        </w:rPr>
        <w:t>codice civile</w:t>
      </w:r>
      <w:proofErr w:type="gramEnd"/>
      <w:r>
        <w:rPr>
          <w:rFonts w:ascii="Calibri" w:hAnsi="Calibri" w:cs="Calibri"/>
          <w:sz w:val="22"/>
          <w:szCs w:val="22"/>
        </w:rPr>
        <w:t xml:space="preserve"> o in una qualsiasi relazione anche di fatto, se la situazione di controllo o la relazione comporti che le offerte siano imputabili ad un unico centro decisionale;</w:t>
      </w:r>
    </w:p>
    <w:p w14:paraId="1FCA0531" w14:textId="77777777" w:rsidR="00B677E3" w:rsidRDefault="00B677E3">
      <w:pPr>
        <w:ind w:left="360"/>
        <w:jc w:val="center"/>
        <w:rPr>
          <w:rFonts w:ascii="Calibri" w:hAnsi="Calibri" w:cs="Calibri"/>
          <w:b/>
          <w:sz w:val="22"/>
          <w:szCs w:val="22"/>
        </w:rPr>
      </w:pPr>
    </w:p>
    <w:p w14:paraId="2435FAB3" w14:textId="77777777" w:rsidR="00B677E3" w:rsidRDefault="00B677E3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DICHIARA ALTRESÌ:</w:t>
      </w:r>
    </w:p>
    <w:p w14:paraId="45DF6CF5" w14:textId="77777777" w:rsidR="00B677E3" w:rsidRDefault="00B677E3">
      <w:pPr>
        <w:ind w:left="360"/>
        <w:jc w:val="center"/>
        <w:rPr>
          <w:rFonts w:ascii="Calibri" w:hAnsi="Calibri" w:cs="Calibri"/>
          <w:b/>
          <w:sz w:val="22"/>
          <w:szCs w:val="22"/>
        </w:rPr>
      </w:pPr>
    </w:p>
    <w:p w14:paraId="2763DB3B" w14:textId="77777777" w:rsidR="00B677E3" w:rsidRDefault="00B677E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 di non trovarsi nelle condizioni di cui all’art. 53, comma 16-ter, del d.lgs. del 2001, n. 165 ossia di non aver concluso contratti di lavoro subordinato o autonomo e, comunque, di non aver attribuito ad ex dipendenti che hanno esercitato poteri autoritativi o negoziali per conto dell’amministrazione nei loro confronti per il triennio successivo alla cessazione del rapporto;</w:t>
      </w:r>
    </w:p>
    <w:p w14:paraId="3CDE334F" w14:textId="77777777" w:rsidR="00B677E3" w:rsidRDefault="00B677E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/>
        <w:t>2. di essere iscritto nel registro delle imprese presso la Camera di Commercio, Industria, Artigianato ed Agricoltura (C.C.I.A.A.) di …………………………. ovvero nel registro delle Commissioni provinciali per l’artigianato di</w:t>
      </w:r>
      <w:proofErr w:type="gramStart"/>
      <w:r>
        <w:rPr>
          <w:rFonts w:ascii="Calibri" w:hAnsi="Calibri" w:cs="Calibri"/>
          <w:sz w:val="22"/>
          <w:szCs w:val="22"/>
        </w:rPr>
        <w:t xml:space="preserve"> ..</w:t>
      </w:r>
      <w:proofErr w:type="gramEnd"/>
      <w:r>
        <w:rPr>
          <w:rFonts w:ascii="Calibri" w:hAnsi="Calibri" w:cs="Calibri"/>
          <w:sz w:val="22"/>
          <w:szCs w:val="22"/>
        </w:rPr>
        <w:t>………………………………..</w:t>
      </w:r>
      <w:r>
        <w:rPr>
          <w:rFonts w:ascii="Calibri" w:hAnsi="Calibri" w:cs="Calibri"/>
          <w:sz w:val="22"/>
          <w:szCs w:val="22"/>
        </w:rPr>
        <w:br/>
        <w:t>Numero iscrizione ……………………….. data iscrizione ……………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………..</w:t>
      </w:r>
    </w:p>
    <w:p w14:paraId="3363457A" w14:textId="77777777" w:rsidR="00B677E3" w:rsidRDefault="00B677E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Oggetto sociale 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br/>
        <w:t>…………………………………………………………………………………………………………………………………………………………………………….</w:t>
      </w:r>
    </w:p>
    <w:p w14:paraId="026D22C1" w14:textId="77777777" w:rsidR="00B677E3" w:rsidRDefault="00B677E3">
      <w:pPr>
        <w:jc w:val="both"/>
        <w:rPr>
          <w:rFonts w:ascii="Calibri" w:hAnsi="Calibri" w:cs="Calibri"/>
          <w:sz w:val="22"/>
          <w:szCs w:val="22"/>
        </w:rPr>
      </w:pPr>
    </w:p>
    <w:p w14:paraId="2FDAF9E4" w14:textId="0FF41846" w:rsidR="00B677E3" w:rsidRPr="00BC1B24" w:rsidRDefault="00B677E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di essere in possesso dei </w:t>
      </w:r>
      <w:r w:rsidRPr="0062612C">
        <w:rPr>
          <w:rFonts w:ascii="Calibri" w:hAnsi="Calibri" w:cs="Calibri"/>
          <w:sz w:val="22"/>
          <w:szCs w:val="22"/>
        </w:rPr>
        <w:t xml:space="preserve">requisiti </w:t>
      </w:r>
      <w:r w:rsidRPr="00BC1B24">
        <w:rPr>
          <w:rFonts w:ascii="Calibri" w:hAnsi="Calibri" w:cs="Calibri"/>
          <w:sz w:val="22"/>
          <w:szCs w:val="22"/>
        </w:rPr>
        <w:t>di cui all’art</w:t>
      </w:r>
      <w:r w:rsidR="00BC1B24" w:rsidRPr="00BC1B24">
        <w:rPr>
          <w:rFonts w:ascii="Calibri" w:hAnsi="Calibri" w:cs="Calibri"/>
          <w:sz w:val="22"/>
          <w:szCs w:val="22"/>
        </w:rPr>
        <w:t xml:space="preserve"> 8</w:t>
      </w:r>
      <w:r w:rsidRPr="00BC1B24">
        <w:rPr>
          <w:rFonts w:ascii="Calibri" w:hAnsi="Calibri" w:cs="Calibri"/>
          <w:sz w:val="22"/>
          <w:szCs w:val="22"/>
        </w:rPr>
        <w:t xml:space="preserve"> </w:t>
      </w:r>
      <w:r w:rsidR="00147FC3" w:rsidRPr="00BC1B24">
        <w:rPr>
          <w:rFonts w:ascii="Calibri" w:hAnsi="Calibri" w:cs="Calibri"/>
          <w:sz w:val="22"/>
          <w:szCs w:val="22"/>
        </w:rPr>
        <w:t xml:space="preserve">del </w:t>
      </w:r>
      <w:r w:rsidRPr="00BC1B24">
        <w:rPr>
          <w:rFonts w:ascii="Calibri" w:hAnsi="Calibri" w:cs="Calibri"/>
          <w:sz w:val="22"/>
          <w:szCs w:val="22"/>
        </w:rPr>
        <w:t>disciplinare</w:t>
      </w:r>
    </w:p>
    <w:p w14:paraId="7EB16702" w14:textId="77777777" w:rsidR="00B677E3" w:rsidRDefault="00B677E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/>
        <w:t xml:space="preserve">4. di essere informato, ai sensi e per gli effetti dell’articolo 13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196/2003, che i dati personali raccolti saranno trattati, anche con strumenti informatici, esclusivamente nell’ambito del procedimento per il quale la presente dichiarazione viene resa, e autorizza tale trattamento;</w:t>
      </w:r>
    </w:p>
    <w:p w14:paraId="76C9BDFF" w14:textId="77777777" w:rsidR="00B677E3" w:rsidRDefault="00B677E3">
      <w:pPr>
        <w:jc w:val="both"/>
        <w:rPr>
          <w:rFonts w:ascii="Calibri" w:hAnsi="Calibri" w:cs="Calibri"/>
          <w:sz w:val="22"/>
          <w:szCs w:val="22"/>
        </w:rPr>
      </w:pPr>
    </w:p>
    <w:p w14:paraId="348ACCA9" w14:textId="77777777" w:rsidR="00B677E3" w:rsidRDefault="00B677E3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SI IMPEGNA ALTRESÌ:</w:t>
      </w:r>
      <w:r>
        <w:rPr>
          <w:rFonts w:ascii="Calibri" w:hAnsi="Calibri" w:cs="Calibri"/>
          <w:b/>
          <w:sz w:val="22"/>
          <w:szCs w:val="22"/>
        </w:rPr>
        <w:br/>
      </w:r>
    </w:p>
    <w:p w14:paraId="4BDA2DF6" w14:textId="77777777" w:rsidR="00B677E3" w:rsidRDefault="00B677E3">
      <w:pPr>
        <w:pStyle w:val="Corpotesto"/>
        <w:numPr>
          <w:ilvl w:val="0"/>
          <w:numId w:val="2"/>
        </w:numPr>
        <w:ind w:left="426" w:hanging="28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 comunicare ogni eventuale variazione intervenuta che dovesse intervenire negli organi societari;</w:t>
      </w:r>
    </w:p>
    <w:p w14:paraId="0C22038C" w14:textId="77777777" w:rsidR="00B677E3" w:rsidRDefault="00B677E3">
      <w:pPr>
        <w:pStyle w:val="Corpotesto"/>
        <w:numPr>
          <w:ilvl w:val="0"/>
          <w:numId w:val="2"/>
        </w:numPr>
        <w:ind w:left="426" w:hanging="28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 assumere l’obbligo di tracciabilità dei flussi finanziari di cui all’art. 3 della legge 13 agosto 2010 n. 136;</w:t>
      </w:r>
    </w:p>
    <w:p w14:paraId="0FEEC8C9" w14:textId="77777777" w:rsidR="00B677E3" w:rsidRDefault="00B677E3">
      <w:pPr>
        <w:widowControl w:val="0"/>
        <w:autoSpaceDE w:val="0"/>
        <w:spacing w:line="320" w:lineRule="exact"/>
        <w:jc w:val="both"/>
        <w:rPr>
          <w:rFonts w:ascii="Calibri" w:hAnsi="Calibri" w:cs="Calibri"/>
          <w:sz w:val="22"/>
          <w:szCs w:val="22"/>
        </w:rPr>
      </w:pPr>
    </w:p>
    <w:p w14:paraId="56997FF7" w14:textId="77777777" w:rsidR="00B677E3" w:rsidRDefault="00B677E3">
      <w:pPr>
        <w:widowControl w:val="0"/>
        <w:tabs>
          <w:tab w:val="left" w:pos="567"/>
        </w:tabs>
        <w:autoSpaceDE w:val="0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DATA                                                                                                                      FIRMA</w:t>
      </w:r>
    </w:p>
    <w:p w14:paraId="59CF025E" w14:textId="77777777" w:rsidR="00B677E3" w:rsidRDefault="00B677E3">
      <w:pPr>
        <w:widowControl w:val="0"/>
        <w:tabs>
          <w:tab w:val="left" w:pos="567"/>
        </w:tabs>
        <w:autoSpaceDE w:val="0"/>
        <w:ind w:left="426"/>
        <w:jc w:val="both"/>
        <w:rPr>
          <w:rFonts w:ascii="Calibri" w:hAnsi="Calibri" w:cs="Calibri"/>
          <w:sz w:val="22"/>
          <w:szCs w:val="22"/>
        </w:rPr>
      </w:pPr>
    </w:p>
    <w:p w14:paraId="759AAF9B" w14:textId="77777777" w:rsidR="00B677E3" w:rsidRDefault="00B677E3">
      <w:pPr>
        <w:widowControl w:val="0"/>
        <w:tabs>
          <w:tab w:val="left" w:pos="567"/>
        </w:tabs>
        <w:autoSpaceDE w:val="0"/>
        <w:ind w:left="426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>_______________________</w:t>
      </w:r>
    </w:p>
    <w:p w14:paraId="4A4FB6E2" w14:textId="77777777" w:rsidR="00B677E3" w:rsidRDefault="00B677E3">
      <w:pPr>
        <w:widowControl w:val="0"/>
        <w:tabs>
          <w:tab w:val="left" w:pos="567"/>
        </w:tabs>
        <w:autoSpaceDE w:val="0"/>
        <w:jc w:val="both"/>
      </w:pPr>
    </w:p>
    <w:p w14:paraId="6F27D364" w14:textId="77777777" w:rsidR="00B677E3" w:rsidRDefault="00B677E3">
      <w:pPr>
        <w:widowControl w:val="0"/>
        <w:tabs>
          <w:tab w:val="left" w:pos="567"/>
        </w:tabs>
        <w:autoSpaceDE w:val="0"/>
        <w:jc w:val="both"/>
      </w:pPr>
    </w:p>
    <w:p w14:paraId="65E5949E" w14:textId="77777777" w:rsidR="00B677E3" w:rsidRDefault="00B677E3">
      <w:pPr>
        <w:widowControl w:val="0"/>
        <w:tabs>
          <w:tab w:val="left" w:pos="567"/>
        </w:tabs>
        <w:autoSpaceDE w:val="0"/>
        <w:jc w:val="both"/>
      </w:pPr>
      <w: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>
        <w:t>necessaria</w:t>
      </w:r>
      <w:proofErr w:type="spellEnd"/>
      <w:r>
        <w:t xml:space="preserve"> ai fini degli adempimenti prescritti dal </w:t>
      </w:r>
      <w:proofErr w:type="spellStart"/>
      <w:r>
        <w:t>D.Lgs.</w:t>
      </w:r>
      <w:proofErr w:type="spellEnd"/>
      <w:r>
        <w:t xml:space="preserve"> 50/2016 </w:t>
      </w:r>
      <w:proofErr w:type="spellStart"/>
      <w:r>
        <w:t>s.m.i.</w:t>
      </w:r>
      <w:proofErr w:type="spellEnd"/>
      <w: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Fragomeni.  </w:t>
      </w:r>
    </w:p>
    <w:sectPr w:rsidR="00B677E3">
      <w:headerReference w:type="default" r:id="rId7"/>
      <w:pgSz w:w="12240" w:h="15840"/>
      <w:pgMar w:top="851" w:right="1134" w:bottom="776" w:left="1134" w:header="567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E3788" w14:textId="77777777" w:rsidR="000A2170" w:rsidRDefault="000A2170">
      <w:r>
        <w:separator/>
      </w:r>
    </w:p>
  </w:endnote>
  <w:endnote w:type="continuationSeparator" w:id="0">
    <w:p w14:paraId="460E23DD" w14:textId="77777777" w:rsidR="000A2170" w:rsidRDefault="000A2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363D1" w14:textId="77777777" w:rsidR="000A2170" w:rsidRDefault="000A2170">
      <w:r>
        <w:separator/>
      </w:r>
    </w:p>
  </w:footnote>
  <w:footnote w:type="continuationSeparator" w:id="0">
    <w:p w14:paraId="543154E8" w14:textId="77777777" w:rsidR="000A2170" w:rsidRDefault="000A2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5CFB0" w14:textId="77777777" w:rsidR="00806121" w:rsidRDefault="00BC1B24" w:rsidP="00806121">
    <w:pPr>
      <w:pStyle w:val="Intestazione"/>
      <w:rPr>
        <w:rFonts w:ascii="Calibri" w:hAnsi="Calibri" w:cs="Calibri"/>
        <w:b/>
        <w:bCs/>
        <w:sz w:val="24"/>
        <w:szCs w:val="24"/>
        <w:lang w:eastAsia="it-IT"/>
      </w:rPr>
    </w:pPr>
    <w:r>
      <w:object w:dxaOrig="1440" w:dyaOrig="1440" w14:anchorId="4B6648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-3.1pt;width:19.7pt;height:28.2pt;z-index:251659264;mso-wrap-distance-left:9.05pt;mso-wrap-distance-right:9.05pt;mso-position-horizontal:center" filled="t">
          <v:fill opacity="0" color2="black"/>
          <v:imagedata r:id="rId1" o:title=""/>
          <w10:wrap type="square"/>
        </v:shape>
        <o:OLEObject Type="Embed" ProgID="Word.Picture.8" ShapeID="_x0000_s1026" DrawAspect="Content" ObjectID="_1748857518" r:id="rId2"/>
      </w:object>
    </w:r>
  </w:p>
  <w:p w14:paraId="029D7E50" w14:textId="77777777" w:rsidR="00806121" w:rsidRDefault="00806121" w:rsidP="00806121">
    <w:pPr>
      <w:autoSpaceDE w:val="0"/>
      <w:autoSpaceDN w:val="0"/>
      <w:adjustRightInd w:val="0"/>
      <w:jc w:val="both"/>
      <w:rPr>
        <w:rFonts w:ascii="Calibri" w:hAnsi="Calibri" w:cs="Calibri"/>
        <w:i/>
        <w:lang w:eastAsia="it-IT"/>
      </w:rPr>
    </w:pPr>
  </w:p>
  <w:p w14:paraId="6A752570" w14:textId="134204C1" w:rsidR="00147FC3" w:rsidRDefault="00147FC3" w:rsidP="00147FC3">
    <w:pPr>
      <w:pBdr>
        <w:left w:val="single" w:sz="12" w:space="4" w:color="C00000"/>
      </w:pBdr>
      <w:autoSpaceDE w:val="0"/>
      <w:autoSpaceDN w:val="0"/>
      <w:adjustRightInd w:val="0"/>
      <w:ind w:left="-284" w:right="313"/>
      <w:jc w:val="both"/>
      <w:rPr>
        <w:rFonts w:ascii="Calibri" w:hAnsi="Calibri" w:cs="Calibri"/>
        <w:kern w:val="2"/>
      </w:rPr>
    </w:pPr>
    <w:r>
      <w:rPr>
        <w:rFonts w:ascii="Calibri" w:hAnsi="Calibri" w:cs="Calibri"/>
      </w:rPr>
      <w:t>Proc.n.3625/AP/2023. Procedura aperta a mezzo di Accordo Quadro ai sensi dell'art. 54 del D.LGS. 50/2016 per l’acquisizione di servizi per la gestione delle zone a verde degli immobili regionali e delle sedi istituzionali.CIG.9899823860</w:t>
    </w:r>
  </w:p>
  <w:p w14:paraId="07D36522" w14:textId="77777777" w:rsidR="00B677E3" w:rsidRDefault="00DD2686">
    <w:pPr>
      <w:pStyle w:val="Nessunaspaziatura1"/>
      <w:ind w:left="0"/>
      <w:jc w:val="both"/>
      <w:rPr>
        <w:rFonts w:ascii="Calibri" w:eastAsia="Georgia" w:hAnsi="Calibri" w:cs="Calibri"/>
        <w:b w:val="0"/>
        <w:bCs w:val="0"/>
        <w:color w:val="000000"/>
        <w:sz w:val="22"/>
        <w:lang w:eastAsia="it-IT"/>
      </w:rPr>
    </w:pPr>
    <w:r>
      <w:rPr>
        <w:rFonts w:ascii="Calibri" w:eastAsia="Georgia" w:hAnsi="Calibri" w:cs="Calibri"/>
        <w:b w:val="0"/>
        <w:bCs w:val="0"/>
        <w:color w:val="000000"/>
        <w:sz w:val="22"/>
        <w:lang w:eastAsia="it-IT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Numeroelenco1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2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Calibri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610576669">
    <w:abstractNumId w:val="0"/>
  </w:num>
  <w:num w:numId="2" w16cid:durableId="1400999">
    <w:abstractNumId w:val="1"/>
  </w:num>
  <w:num w:numId="3" w16cid:durableId="828059512">
    <w:abstractNumId w:val="2"/>
  </w:num>
  <w:num w:numId="4" w16cid:durableId="12729357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8FB"/>
    <w:rsid w:val="000434A8"/>
    <w:rsid w:val="000A2170"/>
    <w:rsid w:val="000C0364"/>
    <w:rsid w:val="00117E55"/>
    <w:rsid w:val="00147FC3"/>
    <w:rsid w:val="0028414E"/>
    <w:rsid w:val="002B2687"/>
    <w:rsid w:val="002E0EF5"/>
    <w:rsid w:val="00361795"/>
    <w:rsid w:val="0037716A"/>
    <w:rsid w:val="00456EF2"/>
    <w:rsid w:val="005058FB"/>
    <w:rsid w:val="0060572D"/>
    <w:rsid w:val="0062612C"/>
    <w:rsid w:val="00651197"/>
    <w:rsid w:val="007B2772"/>
    <w:rsid w:val="00806121"/>
    <w:rsid w:val="00811F72"/>
    <w:rsid w:val="00B53CD0"/>
    <w:rsid w:val="00B615DA"/>
    <w:rsid w:val="00B677E3"/>
    <w:rsid w:val="00BC1B24"/>
    <w:rsid w:val="00C65C37"/>
    <w:rsid w:val="00C84FB1"/>
    <w:rsid w:val="00DD2686"/>
    <w:rsid w:val="00E54893"/>
    <w:rsid w:val="00E56DEA"/>
    <w:rsid w:val="00ED2033"/>
    <w:rsid w:val="00F544F0"/>
    <w:rsid w:val="00FC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88C3F2D"/>
  <w15:chartTrackingRefBased/>
  <w15:docId w15:val="{82393041-5059-4FC1-AA18-FED7964A1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kern w:val="1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ind w:left="0" w:firstLine="5103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ind w:left="0" w:firstLine="5103"/>
      <w:jc w:val="both"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2"/>
      <w:szCs w:val="20"/>
    </w:rPr>
  </w:style>
  <w:style w:type="character" w:customStyle="1" w:styleId="WW8Num3z0">
    <w:name w:val="WW8Num3z0"/>
    <w:rPr>
      <w:rFonts w:ascii="Calibri" w:hAnsi="Calibri" w:cs="Calibri" w:hint="default"/>
      <w:b w:val="0"/>
    </w:rPr>
  </w:style>
  <w:style w:type="character" w:customStyle="1" w:styleId="WW8Num4z0">
    <w:name w:val="WW8Num4z0"/>
    <w:rPr>
      <w:rFonts w:cs="Calibri" w:hint="default"/>
    </w:rPr>
  </w:style>
  <w:style w:type="character" w:customStyle="1" w:styleId="WW8Num4z1">
    <w:name w:val="WW8Num4z1"/>
    <w:rPr>
      <w:rFonts w:ascii="Calibri" w:hAnsi="Calibri" w:cs="Calibri" w:hint="default"/>
      <w:b w:val="0"/>
      <w:sz w:val="22"/>
      <w:szCs w:val="22"/>
    </w:rPr>
  </w:style>
  <w:style w:type="character" w:customStyle="1" w:styleId="WW8Num4z2">
    <w:name w:val="WW8Num4z2"/>
    <w:rPr>
      <w:rFonts w:ascii="Symbol" w:hAnsi="Symbol" w:cs="Symbol" w:hint="default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Carpredefinitoparagrafo9">
    <w:name w:val="Car. predefinito paragrafo9"/>
  </w:style>
  <w:style w:type="character" w:customStyle="1" w:styleId="WW8Num2z2">
    <w:name w:val="WW8Num2z2"/>
    <w:rPr>
      <w:rFonts w:ascii="Symbol" w:hAnsi="Symbol" w:cs="Verdana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  <w:rPr>
      <w:rFonts w:ascii="Calibri" w:hAnsi="Calibri" w:cs="Calibri" w:hint="default"/>
      <w:b w:val="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ascii="Calibri" w:hAnsi="Calibri" w:cs="Calibri" w:hint="default"/>
      <w:b w:val="0"/>
      <w:sz w:val="22"/>
      <w:szCs w:val="22"/>
    </w:rPr>
  </w:style>
  <w:style w:type="character" w:customStyle="1" w:styleId="WW8Num6z2">
    <w:name w:val="WW8Num6z2"/>
    <w:rPr>
      <w:rFonts w:ascii="Symbol" w:hAnsi="Symbol" w:cs="Symbol" w:hint="default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Carpredefinitoparagrafo8">
    <w:name w:val="Car. predefinito paragrafo8"/>
  </w:style>
  <w:style w:type="character" w:customStyle="1" w:styleId="WW8Num3z2">
    <w:name w:val="WW8Num3z2"/>
    <w:rPr>
      <w:rFonts w:ascii="Symbol" w:hAnsi="Symbol" w:cs="Verdana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Carpredefinitoparagrafo7">
    <w:name w:val="Car. predefinito paragrafo7"/>
  </w:style>
  <w:style w:type="character" w:customStyle="1" w:styleId="Carpredefinitoparagrafo6">
    <w:name w:val="Car. predefinito paragrafo6"/>
  </w:style>
  <w:style w:type="character" w:customStyle="1" w:styleId="Caratterepredefinitoparagrafo">
    <w:name w:val="Carattere predefinito paragrafo"/>
  </w:style>
  <w:style w:type="character" w:customStyle="1" w:styleId="Caratterepredefinitoparagrafo1">
    <w:name w:val="Carattere predefinito paragrafo1"/>
  </w:style>
  <w:style w:type="character" w:customStyle="1" w:styleId="Carpredefinitoparagrafo5">
    <w:name w:val="Car. predefinito paragrafo5"/>
  </w:style>
  <w:style w:type="character" w:customStyle="1" w:styleId="Carpredefinitoparagrafo4">
    <w:name w:val="Car. predefinito paragrafo4"/>
  </w:style>
  <w:style w:type="character" w:customStyle="1" w:styleId="Carpredefinitoparagrafo3">
    <w:name w:val="Car. predefinito paragrafo3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TitoloCarattere">
    <w:name w:val="Titolo Carattere"/>
    <w:rPr>
      <w:rFonts w:ascii="Arial" w:hAnsi="Arial" w:cs="Arial"/>
      <w:b/>
      <w:sz w:val="28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IntestazioneCarattere">
    <w:name w:val="Intestazione Carattere"/>
    <w:rPr>
      <w:kern w:val="1"/>
      <w:lang w:eastAsia="zh-CN"/>
    </w:rPr>
  </w:style>
  <w:style w:type="character" w:customStyle="1" w:styleId="WW-Carpredefinitoparagrafo">
    <w:name w:val="WW-Car. predefinito paragrafo"/>
  </w:style>
  <w:style w:type="character" w:customStyle="1" w:styleId="PidipaginaCarattere">
    <w:name w:val="Piè di pagina Carattere"/>
    <w:rPr>
      <w:rFonts w:ascii="Calibri" w:eastAsia="Calibri" w:hAnsi="Calibri" w:cs="Calibri"/>
      <w:sz w:val="22"/>
      <w:szCs w:val="22"/>
    </w:rPr>
  </w:style>
  <w:style w:type="character" w:customStyle="1" w:styleId="TestofumettoCarattere">
    <w:name w:val="Testo fumetto Carattere"/>
    <w:rPr>
      <w:rFonts w:ascii="Tahoma" w:eastAsia="Calibri" w:hAnsi="Tahoma" w:cs="Tahoma"/>
      <w:sz w:val="16"/>
      <w:szCs w:val="16"/>
    </w:rPr>
  </w:style>
  <w:style w:type="character" w:customStyle="1" w:styleId="IntestazioneCarattere1">
    <w:name w:val="Intestazione Carattere1"/>
    <w:rPr>
      <w:rFonts w:ascii="Calibri" w:eastAsia="Calibri" w:hAnsi="Calibri" w:cs="Calibri"/>
      <w:sz w:val="22"/>
      <w:szCs w:val="22"/>
      <w:lang w:val="it-IT" w:bidi="ar-SA"/>
    </w:rPr>
  </w:style>
  <w:style w:type="character" w:customStyle="1" w:styleId="FontStyle35">
    <w:name w:val="Font Style35"/>
    <w:rPr>
      <w:rFonts w:ascii="Sylfaen" w:hAnsi="Sylfaen" w:cs="Sylfaen"/>
      <w:sz w:val="20"/>
      <w:szCs w:val="20"/>
    </w:rPr>
  </w:style>
  <w:style w:type="character" w:customStyle="1" w:styleId="Caratteredinumerazione">
    <w:name w:val="Carattere di numerazione"/>
  </w:style>
  <w:style w:type="paragraph" w:customStyle="1" w:styleId="Titolo3">
    <w:name w:val="Titolo3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jc w:val="both"/>
    </w:pPr>
    <w:rPr>
      <w:sz w:val="24"/>
      <w:szCs w:val="24"/>
    </w:rPr>
  </w:style>
  <w:style w:type="paragraph" w:styleId="Elenco">
    <w:name w:val="List"/>
    <w:basedOn w:val="Corpotesto"/>
    <w:rPr>
      <w:rFonts w:cs="Tahoma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itolo10">
    <w:name w:val="Titolo1"/>
    <w:basedOn w:val="Normale"/>
    <w:next w:val="Sottotitolo"/>
    <w:pPr>
      <w:suppressAutoHyphens w:val="0"/>
      <w:jc w:val="center"/>
    </w:pPr>
    <w:rPr>
      <w:rFonts w:ascii="Arial" w:hAnsi="Arial" w:cs="Arial"/>
      <w:b/>
      <w:sz w:val="28"/>
    </w:rPr>
  </w:style>
  <w:style w:type="paragraph" w:customStyle="1" w:styleId="Intestazione8">
    <w:name w:val="Intestazione8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7">
    <w:name w:val="Didascalia7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Intestazione">
    <w:name w:val="header"/>
    <w:basedOn w:val="Normale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pPr>
      <w:tabs>
        <w:tab w:val="center" w:pos="4986"/>
        <w:tab w:val="right" w:pos="9972"/>
      </w:tabs>
    </w:pPr>
  </w:style>
  <w:style w:type="paragraph" w:styleId="Rientrocorpodeltesto">
    <w:name w:val="Body Text Indent"/>
    <w:basedOn w:val="Normale"/>
    <w:pPr>
      <w:ind w:firstLine="284"/>
    </w:pPr>
    <w:rPr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  <w:i/>
      <w:iCs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rFonts w:ascii="Courier New" w:hAnsi="Courier New" w:cs="Courier New"/>
    </w:rPr>
  </w:style>
  <w:style w:type="paragraph" w:styleId="Nessunaspaziatura">
    <w:name w:val="No Spacing"/>
    <w:qFormat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customStyle="1" w:styleId="Standard">
    <w:name w:val="Standard"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styleId="Paragrafoelenco">
    <w:name w:val="List Paragraph"/>
    <w:basedOn w:val="Normale"/>
    <w:qFormat/>
    <w:pPr>
      <w:widowControl w:val="0"/>
      <w:suppressAutoHyphens w:val="0"/>
      <w:autoSpaceDE w:val="0"/>
      <w:ind w:left="572" w:hanging="360"/>
      <w:jc w:val="both"/>
    </w:pPr>
    <w:rPr>
      <w:rFonts w:ascii="Garamond" w:eastAsia="Calibri" w:hAnsi="Garamond" w:cs="Garamond"/>
      <w:sz w:val="22"/>
      <w:szCs w:val="22"/>
      <w:lang w:val="en-US"/>
    </w:rPr>
  </w:style>
  <w:style w:type="paragraph" w:styleId="Sottotitolo">
    <w:name w:val="Subtitle"/>
    <w:basedOn w:val="Intestazione5"/>
    <w:next w:val="Corpotesto"/>
    <w:qFormat/>
    <w:pPr>
      <w:jc w:val="center"/>
    </w:pPr>
    <w:rPr>
      <w:i/>
      <w:iCs/>
    </w:rPr>
  </w:style>
  <w:style w:type="paragraph" w:customStyle="1" w:styleId="Corpodeltesto22">
    <w:name w:val="Corpo del testo 22"/>
    <w:basedOn w:val="Normale"/>
    <w:pPr>
      <w:widowControl w:val="0"/>
      <w:autoSpaceDE w:val="0"/>
      <w:jc w:val="both"/>
    </w:pPr>
    <w:rPr>
      <w:rFonts w:ascii="Arial" w:eastAsia="Arial" w:hAnsi="Arial" w:cs="Arial"/>
    </w:rPr>
  </w:style>
  <w:style w:type="paragraph" w:customStyle="1" w:styleId="Paragrafoelenco1">
    <w:name w:val="Paragrafo elenco1"/>
    <w:basedOn w:val="Normale"/>
    <w:pPr>
      <w:widowControl w:val="0"/>
      <w:spacing w:after="80"/>
      <w:ind w:left="567" w:right="731" w:hanging="5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Nessunaspaziatura1">
    <w:name w:val="Nessuna spaziatura1"/>
    <w:pPr>
      <w:widowControl w:val="0"/>
      <w:suppressAutoHyphens/>
      <w:ind w:left="567" w:right="734"/>
      <w:jc w:val="center"/>
    </w:pPr>
    <w:rPr>
      <w:rFonts w:ascii="Cambria" w:eastAsia="Calibri" w:hAnsi="Cambria" w:cs="Arial"/>
      <w:b/>
      <w:bCs/>
      <w:kern w:val="1"/>
      <w:sz w:val="24"/>
      <w:szCs w:val="22"/>
      <w:lang w:eastAsia="zh-CN"/>
    </w:rPr>
  </w:style>
  <w:style w:type="paragraph" w:customStyle="1" w:styleId="Paragrafoelenco4">
    <w:name w:val="Paragrafo elenco4"/>
    <w:basedOn w:val="Normale"/>
    <w:pPr>
      <w:spacing w:after="160" w:line="252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Elencoacolori-Colore11">
    <w:name w:val="Elenco a colori - Colore 11"/>
    <w:basedOn w:val="Normale"/>
    <w:pPr>
      <w:ind w:left="720"/>
    </w:pPr>
  </w:style>
  <w:style w:type="paragraph" w:customStyle="1" w:styleId="normale0">
    <w:name w:val="normale"/>
    <w:basedOn w:val="Normale"/>
    <w:pPr>
      <w:tabs>
        <w:tab w:val="left" w:pos="1080"/>
      </w:tabs>
      <w:ind w:left="360" w:hanging="360"/>
      <w:jc w:val="both"/>
    </w:pPr>
  </w:style>
  <w:style w:type="paragraph" w:customStyle="1" w:styleId="WW-Standard">
    <w:name w:val="WW-Standard"/>
    <w:pPr>
      <w:suppressAutoHyphens/>
      <w:textAlignment w:val="baseline"/>
    </w:pPr>
    <w:rPr>
      <w:rFonts w:ascii="Courier New" w:eastAsia="Arial" w:hAnsi="Courier New" w:cs="Courier New"/>
      <w:kern w:val="1"/>
      <w:sz w:val="24"/>
      <w:szCs w:val="24"/>
      <w:lang w:eastAsia="zh-CN"/>
    </w:rPr>
  </w:style>
  <w:style w:type="paragraph" w:customStyle="1" w:styleId="Paragrafoelenco2">
    <w:name w:val="Paragrafo elenco2"/>
    <w:basedOn w:val="Normale"/>
    <w:pPr>
      <w:ind w:left="572" w:hanging="360"/>
      <w:jc w:val="both"/>
    </w:pPr>
  </w:style>
  <w:style w:type="paragraph" w:customStyle="1" w:styleId="Numeroelenco1">
    <w:name w:val="Numero elenco1"/>
    <w:basedOn w:val="Normale"/>
    <w:pPr>
      <w:widowControl w:val="0"/>
      <w:numPr>
        <w:numId w:val="2"/>
      </w:numPr>
      <w:suppressAutoHyphens w:val="0"/>
      <w:autoSpaceDE w:val="0"/>
      <w:spacing w:line="520" w:lineRule="exact"/>
      <w:jc w:val="both"/>
    </w:pPr>
    <w:rPr>
      <w:rFonts w:ascii="Trebuchet MS" w:hAnsi="Trebuchet MS" w:cs="Trebuchet MS"/>
    </w:rPr>
  </w:style>
  <w:style w:type="paragraph" w:customStyle="1" w:styleId="StileNumeroelencoInterlineaesatta15pt">
    <w:name w:val="Stile Numero elenco + Interlinea esatta 15 pt"/>
    <w:basedOn w:val="Numeroelenco1"/>
    <w:pPr>
      <w:spacing w:line="300" w:lineRule="exact"/>
    </w:pPr>
    <w:rPr>
      <w:rFonts w:cs="Times New Roman"/>
    </w:rPr>
  </w:style>
  <w:style w:type="paragraph" w:customStyle="1" w:styleId="TableParagraph">
    <w:name w:val="Table Paragraph"/>
    <w:basedOn w:val="Normale"/>
    <w:pPr>
      <w:widowControl w:val="0"/>
      <w:suppressAutoHyphens w:val="0"/>
      <w:autoSpaceDE w:val="0"/>
      <w:spacing w:before="1"/>
    </w:pPr>
    <w:rPr>
      <w:rFonts w:ascii="Garamond" w:eastAsia="Garamond" w:hAnsi="Garamond" w:cs="Garamond"/>
      <w:lang w:bidi="it-IT"/>
    </w:r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WW-Rigadintestazione">
    <w:name w:val="WW-Riga d'intestazione"/>
    <w:basedOn w:val="Normale"/>
    <w:pPr>
      <w:suppressLineNumbers/>
      <w:tabs>
        <w:tab w:val="center" w:pos="4819"/>
        <w:tab w:val="right" w:pos="9638"/>
      </w:tabs>
    </w:pPr>
    <w:rPr>
      <w:rFonts w:ascii="Calibri" w:eastAsia="Calibri" w:hAnsi="Calibri" w:cs="Calibri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10752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UMBERTO SCALO</cp:lastModifiedBy>
  <cp:revision>4</cp:revision>
  <cp:lastPrinted>2010-01-28T15:22:00Z</cp:lastPrinted>
  <dcterms:created xsi:type="dcterms:W3CDTF">2023-06-09T07:13:00Z</dcterms:created>
  <dcterms:modified xsi:type="dcterms:W3CDTF">2023-06-21T10:59:00Z</dcterms:modified>
</cp:coreProperties>
</file>